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F" w:rsidRPr="000A34CE" w:rsidRDefault="00E024BF" w:rsidP="00E024BF">
      <w:pPr>
        <w:spacing w:line="240" w:lineRule="atLeast"/>
        <w:rPr>
          <w:rFonts w:ascii="Calibri" w:hAnsi="Calibri"/>
          <w:b/>
          <w:sz w:val="22"/>
          <w:szCs w:val="22"/>
        </w:rPr>
      </w:pPr>
    </w:p>
    <w:p w:rsidR="00E024BF" w:rsidRPr="000A34CE" w:rsidRDefault="000A34CE" w:rsidP="00E024BF">
      <w:pPr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KLAGE OVER </w:t>
      </w:r>
      <w:r w:rsidR="00E024BF" w:rsidRPr="000A34CE">
        <w:rPr>
          <w:b/>
          <w:sz w:val="22"/>
          <w:szCs w:val="22"/>
        </w:rPr>
        <w:t>MANGLENDE DOKUMENTINNSYN</w:t>
      </w:r>
    </w:p>
    <w:p w:rsidR="00E024BF" w:rsidRPr="000A34CE" w:rsidRDefault="00E024BF" w:rsidP="00E024BF">
      <w:pPr>
        <w:spacing w:line="240" w:lineRule="atLeast"/>
        <w:rPr>
          <w:b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>Vi viser til krav om innsyn av …</w:t>
      </w:r>
      <w:r w:rsidR="000A34CE" w:rsidRPr="000A34CE">
        <w:rPr>
          <w:rFonts w:ascii="Times New Roman" w:hAnsi="Times New Roman"/>
          <w:sz w:val="22"/>
          <w:szCs w:val="22"/>
        </w:rPr>
        <w:t xml:space="preserve"> </w:t>
      </w:r>
      <w:r w:rsidRPr="000A34CE">
        <w:rPr>
          <w:rFonts w:ascii="Times New Roman" w:hAnsi="Times New Roman"/>
          <w:sz w:val="22"/>
          <w:szCs w:val="22"/>
        </w:rPr>
        <w:t xml:space="preserve">og </w:t>
      </w:r>
      <w:r w:rsidR="000A34CE" w:rsidRPr="000A34CE">
        <w:rPr>
          <w:rFonts w:ascii="Times New Roman" w:hAnsi="Times New Roman"/>
          <w:sz w:val="22"/>
          <w:szCs w:val="22"/>
        </w:rPr>
        <w:t>deres svar</w:t>
      </w:r>
      <w:r w:rsidRPr="000A34CE">
        <w:rPr>
          <w:rFonts w:ascii="Times New Roman" w:hAnsi="Times New Roman"/>
          <w:sz w:val="22"/>
          <w:szCs w:val="22"/>
        </w:rPr>
        <w:t xml:space="preserve"> av </w:t>
      </w:r>
      <w:proofErr w:type="gramStart"/>
      <w:r w:rsidRPr="000A34CE">
        <w:rPr>
          <w:rFonts w:ascii="Times New Roman" w:hAnsi="Times New Roman"/>
          <w:sz w:val="22"/>
          <w:szCs w:val="22"/>
        </w:rPr>
        <w:t>….</w:t>
      </w:r>
      <w:proofErr w:type="gramEnd"/>
      <w:r w:rsidRPr="000A34CE">
        <w:rPr>
          <w:rFonts w:ascii="Times New Roman" w:hAnsi="Times New Roman"/>
          <w:sz w:val="22"/>
          <w:szCs w:val="22"/>
        </w:rPr>
        <w:t xml:space="preserve"> Dere oppgir at saksbehandlingen blir forsinket fordi saksbehandler er bortreist/syk /</w:t>
      </w:r>
      <w:r w:rsidR="000A34CE" w:rsidRPr="000A34CE">
        <w:rPr>
          <w:rFonts w:ascii="Times New Roman" w:hAnsi="Times New Roman"/>
          <w:sz w:val="22"/>
          <w:szCs w:val="22"/>
        </w:rPr>
        <w:t xml:space="preserve">på ferie. </w:t>
      </w:r>
      <w:r w:rsidRPr="000A34CE">
        <w:rPr>
          <w:rFonts w:ascii="Times New Roman" w:hAnsi="Times New Roman"/>
          <w:sz w:val="22"/>
          <w:szCs w:val="22"/>
        </w:rPr>
        <w:t xml:space="preserve">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b/>
          <w:sz w:val="22"/>
          <w:szCs w:val="22"/>
        </w:rPr>
      </w:pPr>
      <w:r w:rsidRPr="000A34CE">
        <w:rPr>
          <w:rFonts w:ascii="Times New Roman" w:hAnsi="Times New Roman"/>
          <w:b/>
          <w:sz w:val="22"/>
          <w:szCs w:val="22"/>
        </w:rPr>
        <w:t>Offentlighetsloven gir ikke hjemmel for å unnta et dokument fra innsyn med en slik begrunnelse.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Det følger av lovens § 29 første ledd at avgjørelse om innsyn skal treffes ”uten ugrunna opphold”.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br/>
        <w:t xml:space="preserve">Hva som ligger i dette, er nærmere angitt i Justisdepartementets </w:t>
      </w:r>
      <w:proofErr w:type="spellStart"/>
      <w:r w:rsidRPr="000A34CE">
        <w:rPr>
          <w:rFonts w:ascii="Times New Roman" w:hAnsi="Times New Roman"/>
          <w:sz w:val="22"/>
          <w:szCs w:val="22"/>
        </w:rPr>
        <w:t>rettleiar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 til </w:t>
      </w:r>
      <w:proofErr w:type="spellStart"/>
      <w:r w:rsidRPr="000A34CE">
        <w:rPr>
          <w:rFonts w:ascii="Times New Roman" w:hAnsi="Times New Roman"/>
          <w:sz w:val="22"/>
          <w:szCs w:val="22"/>
        </w:rPr>
        <w:t>offentleglova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, punkt 9.3: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autoSpaceDE w:val="0"/>
        <w:autoSpaceDN w:val="0"/>
        <w:adjustRightInd w:val="0"/>
        <w:rPr>
          <w:i/>
          <w:sz w:val="22"/>
          <w:szCs w:val="22"/>
        </w:rPr>
      </w:pPr>
      <w:r w:rsidRPr="000A34CE">
        <w:rPr>
          <w:i/>
          <w:sz w:val="22"/>
          <w:szCs w:val="22"/>
        </w:rPr>
        <w:t>”</w:t>
      </w:r>
      <w:proofErr w:type="spellStart"/>
      <w:r w:rsidRPr="000A34CE">
        <w:rPr>
          <w:i/>
          <w:sz w:val="22"/>
          <w:szCs w:val="22"/>
        </w:rPr>
        <w:t>Offentleglova</w:t>
      </w:r>
      <w:proofErr w:type="spellEnd"/>
      <w:r w:rsidRPr="000A34CE">
        <w:rPr>
          <w:i/>
          <w:sz w:val="22"/>
          <w:szCs w:val="22"/>
        </w:rPr>
        <w:t xml:space="preserve"> § 29 fyrste ledd andre punktum slår fast at </w:t>
      </w:r>
      <w:proofErr w:type="spellStart"/>
      <w:r w:rsidRPr="000A34CE">
        <w:rPr>
          <w:i/>
          <w:sz w:val="22"/>
          <w:szCs w:val="22"/>
        </w:rPr>
        <w:t>eit</w:t>
      </w:r>
      <w:proofErr w:type="spellEnd"/>
      <w:r w:rsidRPr="000A34CE">
        <w:rPr>
          <w:i/>
          <w:sz w:val="22"/>
          <w:szCs w:val="22"/>
        </w:rPr>
        <w:t xml:space="preserve"> krav om innsyn skal </w:t>
      </w:r>
      <w:proofErr w:type="spellStart"/>
      <w:r w:rsidRPr="000A34CE">
        <w:rPr>
          <w:i/>
          <w:sz w:val="22"/>
          <w:szCs w:val="22"/>
        </w:rPr>
        <w:t>avgjerast</w:t>
      </w:r>
      <w:proofErr w:type="spellEnd"/>
      <w:r w:rsidRPr="000A34CE">
        <w:rPr>
          <w:i/>
          <w:sz w:val="22"/>
          <w:szCs w:val="22"/>
        </w:rPr>
        <w:t xml:space="preserve"> </w:t>
      </w:r>
      <w:proofErr w:type="spellStart"/>
      <w:r w:rsidRPr="000A34CE">
        <w:rPr>
          <w:i/>
          <w:sz w:val="22"/>
          <w:szCs w:val="22"/>
        </w:rPr>
        <w:t>utan</w:t>
      </w:r>
      <w:proofErr w:type="spellEnd"/>
      <w:r w:rsidRPr="000A34CE">
        <w:rPr>
          <w:i/>
          <w:sz w:val="22"/>
          <w:szCs w:val="22"/>
        </w:rPr>
        <w:t xml:space="preserve"> ugrunna </w:t>
      </w:r>
      <w:proofErr w:type="spellStart"/>
      <w:r w:rsidRPr="000A34CE">
        <w:rPr>
          <w:i/>
          <w:sz w:val="22"/>
          <w:szCs w:val="22"/>
        </w:rPr>
        <w:t>opphald</w:t>
      </w:r>
      <w:proofErr w:type="spellEnd"/>
      <w:r w:rsidRPr="000A34CE">
        <w:rPr>
          <w:i/>
          <w:sz w:val="22"/>
          <w:szCs w:val="22"/>
        </w:rPr>
        <w:t xml:space="preserve">. Ei </w:t>
      </w:r>
      <w:proofErr w:type="spellStart"/>
      <w:r w:rsidRPr="000A34CE">
        <w:rPr>
          <w:i/>
          <w:sz w:val="22"/>
          <w:szCs w:val="22"/>
        </w:rPr>
        <w:t>tilsvarande</w:t>
      </w:r>
      <w:proofErr w:type="spellEnd"/>
      <w:r w:rsidRPr="000A34CE">
        <w:rPr>
          <w:i/>
          <w:sz w:val="22"/>
          <w:szCs w:val="22"/>
        </w:rPr>
        <w:t xml:space="preserve"> føresegn </w:t>
      </w:r>
      <w:proofErr w:type="spellStart"/>
      <w:r w:rsidRPr="000A34CE">
        <w:rPr>
          <w:i/>
          <w:sz w:val="22"/>
          <w:szCs w:val="22"/>
        </w:rPr>
        <w:t>fanst</w:t>
      </w:r>
      <w:proofErr w:type="spellEnd"/>
      <w:r w:rsidRPr="000A34CE">
        <w:rPr>
          <w:i/>
          <w:sz w:val="22"/>
          <w:szCs w:val="22"/>
        </w:rPr>
        <w:t xml:space="preserve"> i </w:t>
      </w:r>
      <w:proofErr w:type="spellStart"/>
      <w:r w:rsidRPr="000A34CE">
        <w:rPr>
          <w:i/>
          <w:sz w:val="22"/>
          <w:szCs w:val="22"/>
        </w:rPr>
        <w:t>offentlegheitslova</w:t>
      </w:r>
      <w:proofErr w:type="spellEnd"/>
      <w:r w:rsidRPr="000A34CE">
        <w:rPr>
          <w:i/>
          <w:sz w:val="22"/>
          <w:szCs w:val="22"/>
        </w:rPr>
        <w:t xml:space="preserve"> 1970. </w:t>
      </w:r>
      <w:proofErr w:type="spellStart"/>
      <w:r w:rsidRPr="000A34CE">
        <w:rPr>
          <w:i/>
          <w:sz w:val="22"/>
          <w:szCs w:val="22"/>
        </w:rPr>
        <w:t>Kva</w:t>
      </w:r>
      <w:proofErr w:type="spellEnd"/>
      <w:r w:rsidRPr="000A34CE">
        <w:rPr>
          <w:i/>
          <w:sz w:val="22"/>
          <w:szCs w:val="22"/>
        </w:rPr>
        <w:t xml:space="preserve"> som skal </w:t>
      </w:r>
      <w:proofErr w:type="spellStart"/>
      <w:r w:rsidRPr="000A34CE">
        <w:rPr>
          <w:i/>
          <w:sz w:val="22"/>
          <w:szCs w:val="22"/>
        </w:rPr>
        <w:t>reknast</w:t>
      </w:r>
      <w:proofErr w:type="spellEnd"/>
      <w:r w:rsidRPr="000A34CE">
        <w:rPr>
          <w:i/>
          <w:sz w:val="22"/>
          <w:szCs w:val="22"/>
        </w:rPr>
        <w:t xml:space="preserve"> som grunna </w:t>
      </w:r>
      <w:proofErr w:type="spellStart"/>
      <w:r w:rsidRPr="000A34CE">
        <w:rPr>
          <w:i/>
          <w:sz w:val="22"/>
          <w:szCs w:val="22"/>
        </w:rPr>
        <w:t>opphald</w:t>
      </w:r>
      <w:proofErr w:type="spellEnd"/>
      <w:r w:rsidRPr="000A34CE">
        <w:rPr>
          <w:i/>
          <w:sz w:val="22"/>
          <w:szCs w:val="22"/>
        </w:rPr>
        <w:t xml:space="preserve">, må </w:t>
      </w:r>
      <w:proofErr w:type="spellStart"/>
      <w:r w:rsidRPr="000A34CE">
        <w:rPr>
          <w:i/>
          <w:sz w:val="22"/>
          <w:szCs w:val="22"/>
        </w:rPr>
        <w:t>vurderast</w:t>
      </w:r>
      <w:proofErr w:type="spellEnd"/>
      <w:r w:rsidRPr="000A34CE">
        <w:rPr>
          <w:i/>
          <w:sz w:val="22"/>
          <w:szCs w:val="22"/>
        </w:rPr>
        <w:t xml:space="preserve"> konkret ut frå om </w:t>
      </w:r>
      <w:proofErr w:type="spellStart"/>
      <w:r w:rsidRPr="000A34CE">
        <w:rPr>
          <w:i/>
          <w:sz w:val="22"/>
          <w:szCs w:val="22"/>
        </w:rPr>
        <w:t>innsynskravet</w:t>
      </w:r>
      <w:proofErr w:type="spellEnd"/>
      <w:r w:rsidRPr="000A34CE">
        <w:rPr>
          <w:i/>
          <w:sz w:val="22"/>
          <w:szCs w:val="22"/>
        </w:rPr>
        <w:t xml:space="preserve"> reiser </w:t>
      </w:r>
      <w:proofErr w:type="spellStart"/>
      <w:r w:rsidRPr="000A34CE">
        <w:rPr>
          <w:i/>
          <w:sz w:val="22"/>
          <w:szCs w:val="22"/>
        </w:rPr>
        <w:t>vanskelege</w:t>
      </w:r>
      <w:proofErr w:type="spellEnd"/>
      <w:r w:rsidRPr="000A34CE">
        <w:rPr>
          <w:i/>
          <w:sz w:val="22"/>
          <w:szCs w:val="22"/>
        </w:rPr>
        <w:t xml:space="preserve"> spørsmål, </w:t>
      </w:r>
      <w:proofErr w:type="spellStart"/>
      <w:r w:rsidRPr="000A34CE">
        <w:rPr>
          <w:i/>
          <w:sz w:val="22"/>
          <w:szCs w:val="22"/>
        </w:rPr>
        <w:t>kva</w:t>
      </w:r>
      <w:proofErr w:type="spellEnd"/>
      <w:r w:rsidRPr="000A34CE">
        <w:rPr>
          <w:i/>
          <w:sz w:val="22"/>
          <w:szCs w:val="22"/>
        </w:rPr>
        <w:t xml:space="preserve"> omfang kravet har og </w:t>
      </w:r>
      <w:proofErr w:type="spellStart"/>
      <w:r w:rsidRPr="000A34CE">
        <w:rPr>
          <w:i/>
          <w:sz w:val="22"/>
          <w:szCs w:val="22"/>
        </w:rPr>
        <w:t>kva</w:t>
      </w:r>
      <w:proofErr w:type="spellEnd"/>
      <w:r w:rsidRPr="000A34CE">
        <w:rPr>
          <w:i/>
          <w:sz w:val="22"/>
          <w:szCs w:val="22"/>
        </w:rPr>
        <w:t xml:space="preserve"> for arbeidsmengde organet har </w:t>
      </w:r>
      <w:proofErr w:type="spellStart"/>
      <w:r w:rsidRPr="000A34CE">
        <w:rPr>
          <w:i/>
          <w:sz w:val="22"/>
          <w:szCs w:val="22"/>
        </w:rPr>
        <w:t>elles</w:t>
      </w:r>
      <w:proofErr w:type="gramStart"/>
      <w:r w:rsidRPr="000A34CE">
        <w:rPr>
          <w:i/>
          <w:sz w:val="22"/>
          <w:szCs w:val="22"/>
        </w:rPr>
        <w:t>.Dette</w:t>
      </w:r>
      <w:proofErr w:type="spellEnd"/>
      <w:proofErr w:type="gramEnd"/>
      <w:r w:rsidRPr="000A34CE">
        <w:rPr>
          <w:i/>
          <w:sz w:val="22"/>
          <w:szCs w:val="22"/>
        </w:rPr>
        <w:t xml:space="preserve"> </w:t>
      </w:r>
      <w:proofErr w:type="spellStart"/>
      <w:r w:rsidRPr="000A34CE">
        <w:rPr>
          <w:i/>
          <w:sz w:val="22"/>
          <w:szCs w:val="22"/>
        </w:rPr>
        <w:t>inneber</w:t>
      </w:r>
      <w:proofErr w:type="spellEnd"/>
      <w:r w:rsidRPr="000A34CE">
        <w:rPr>
          <w:i/>
          <w:sz w:val="22"/>
          <w:szCs w:val="22"/>
        </w:rPr>
        <w:t xml:space="preserve"> at </w:t>
      </w:r>
      <w:proofErr w:type="spellStart"/>
      <w:r w:rsidRPr="000A34CE">
        <w:rPr>
          <w:i/>
          <w:sz w:val="22"/>
          <w:szCs w:val="22"/>
        </w:rPr>
        <w:t>innsynskravet</w:t>
      </w:r>
      <w:proofErr w:type="spellEnd"/>
      <w:r w:rsidRPr="000A34CE">
        <w:rPr>
          <w:i/>
          <w:sz w:val="22"/>
          <w:szCs w:val="22"/>
        </w:rPr>
        <w:t xml:space="preserve"> skal </w:t>
      </w:r>
      <w:proofErr w:type="spellStart"/>
      <w:r w:rsidRPr="000A34CE">
        <w:rPr>
          <w:i/>
          <w:sz w:val="22"/>
          <w:szCs w:val="22"/>
        </w:rPr>
        <w:t>avgjerast</w:t>
      </w:r>
      <w:proofErr w:type="spellEnd"/>
      <w:r w:rsidRPr="000A34CE">
        <w:rPr>
          <w:i/>
          <w:sz w:val="22"/>
          <w:szCs w:val="22"/>
        </w:rPr>
        <w:t xml:space="preserve"> så snart som det er praktisk</w:t>
      </w:r>
    </w:p>
    <w:p w:rsidR="00E024BF" w:rsidRPr="000A34CE" w:rsidRDefault="00E024BF" w:rsidP="00E024BF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0A34CE">
        <w:rPr>
          <w:i/>
          <w:sz w:val="22"/>
          <w:szCs w:val="22"/>
        </w:rPr>
        <w:t>mogleg</w:t>
      </w:r>
      <w:proofErr w:type="spellEnd"/>
      <w:r w:rsidRPr="000A34CE">
        <w:rPr>
          <w:i/>
          <w:sz w:val="22"/>
          <w:szCs w:val="22"/>
        </w:rPr>
        <w:t xml:space="preserve">. </w:t>
      </w:r>
      <w:proofErr w:type="spellStart"/>
      <w:r w:rsidRPr="000A34CE">
        <w:rPr>
          <w:i/>
          <w:sz w:val="22"/>
          <w:szCs w:val="22"/>
        </w:rPr>
        <w:t>Vanlege</w:t>
      </w:r>
      <w:proofErr w:type="spellEnd"/>
      <w:r w:rsidRPr="000A34CE">
        <w:rPr>
          <w:i/>
          <w:sz w:val="22"/>
          <w:szCs w:val="22"/>
        </w:rPr>
        <w:t xml:space="preserve"> krav bør </w:t>
      </w:r>
      <w:proofErr w:type="spellStart"/>
      <w:r w:rsidRPr="000A34CE">
        <w:rPr>
          <w:i/>
          <w:sz w:val="22"/>
          <w:szCs w:val="22"/>
        </w:rPr>
        <w:t>avgjerast</w:t>
      </w:r>
      <w:proofErr w:type="spellEnd"/>
      <w:r w:rsidRPr="000A34CE">
        <w:rPr>
          <w:i/>
          <w:sz w:val="22"/>
          <w:szCs w:val="22"/>
        </w:rPr>
        <w:t xml:space="preserve"> same dag som </w:t>
      </w:r>
      <w:proofErr w:type="spellStart"/>
      <w:r w:rsidRPr="000A34CE">
        <w:rPr>
          <w:i/>
          <w:sz w:val="22"/>
          <w:szCs w:val="22"/>
        </w:rPr>
        <w:t>dei</w:t>
      </w:r>
      <w:proofErr w:type="spellEnd"/>
      <w:r w:rsidRPr="000A34CE">
        <w:rPr>
          <w:i/>
          <w:sz w:val="22"/>
          <w:szCs w:val="22"/>
        </w:rPr>
        <w:t xml:space="preserve"> er </w:t>
      </w:r>
      <w:proofErr w:type="spellStart"/>
      <w:r w:rsidRPr="000A34CE">
        <w:rPr>
          <w:i/>
          <w:sz w:val="22"/>
          <w:szCs w:val="22"/>
        </w:rPr>
        <w:t>mottekne</w:t>
      </w:r>
      <w:proofErr w:type="spellEnd"/>
      <w:r w:rsidRPr="000A34CE">
        <w:rPr>
          <w:i/>
          <w:sz w:val="22"/>
          <w:szCs w:val="22"/>
        </w:rPr>
        <w:t xml:space="preserve">, eller i alle fall </w:t>
      </w:r>
      <w:proofErr w:type="spellStart"/>
      <w:r w:rsidRPr="000A34CE">
        <w:rPr>
          <w:i/>
          <w:sz w:val="22"/>
          <w:szCs w:val="22"/>
        </w:rPr>
        <w:t>innan</w:t>
      </w:r>
      <w:proofErr w:type="spellEnd"/>
      <w:r w:rsidRPr="000A34CE">
        <w:rPr>
          <w:i/>
          <w:sz w:val="22"/>
          <w:szCs w:val="22"/>
        </w:rPr>
        <w:t xml:space="preserve"> </w:t>
      </w:r>
      <w:proofErr w:type="spellStart"/>
      <w:r w:rsidRPr="000A34CE">
        <w:rPr>
          <w:i/>
          <w:sz w:val="22"/>
          <w:szCs w:val="22"/>
        </w:rPr>
        <w:t>éin</w:t>
      </w:r>
      <w:proofErr w:type="spellEnd"/>
      <w:r w:rsidRPr="000A34CE">
        <w:rPr>
          <w:i/>
          <w:sz w:val="22"/>
          <w:szCs w:val="22"/>
        </w:rPr>
        <w:t xml:space="preserve"> til tre </w:t>
      </w:r>
      <w:proofErr w:type="spellStart"/>
      <w:r w:rsidRPr="000A34CE">
        <w:rPr>
          <w:i/>
          <w:sz w:val="22"/>
          <w:szCs w:val="22"/>
        </w:rPr>
        <w:t>verkedagar</w:t>
      </w:r>
      <w:proofErr w:type="spellEnd"/>
      <w:r w:rsidRPr="000A34CE">
        <w:rPr>
          <w:i/>
          <w:sz w:val="22"/>
          <w:szCs w:val="22"/>
        </w:rPr>
        <w:t>.”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Ettersom dette er en videreføring av det kravet som gjaldt i henhold til den gamle offentlighetsloven (1970), vil forvaltningspraksis knyttet til tidligere loven være relevant også for den nye.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Sivilombudsmannen har i flere av sine uttalelser uttalt at dette må tolkes slik at </w:t>
      </w:r>
      <w:proofErr w:type="spellStart"/>
      <w:r w:rsidRPr="000A34CE">
        <w:rPr>
          <w:rFonts w:ascii="Times New Roman" w:hAnsi="Times New Roman"/>
          <w:sz w:val="22"/>
          <w:szCs w:val="22"/>
        </w:rPr>
        <w:t>innsynskrav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 i de fleste tilfeller bør kunne avgjøres samme dag eller i alle fall i løpet av en til tre virkedager. En saksbehandlingstid på åtte virkedager vil normalt måtte regnes som uakseptabelt langt. Så lang saksbehandlingstid kan man vanskelig akseptere annet enn i helt ekstraordinære tilfeller, for eksempel fordi </w:t>
      </w:r>
      <w:proofErr w:type="spellStart"/>
      <w:r w:rsidRPr="000A34CE">
        <w:rPr>
          <w:rFonts w:ascii="Times New Roman" w:hAnsi="Times New Roman"/>
          <w:sz w:val="22"/>
          <w:szCs w:val="22"/>
        </w:rPr>
        <w:t>innsynskravet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 er omfattende eller medfører vanskelige vurderinger av taushetspliktens rekkevidde.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Ferieavvikling eller sykdom regnes ikke som ekstraordinært og er dermed ikke en legitim grunn til å utsette behandlingen av </w:t>
      </w:r>
      <w:proofErr w:type="spellStart"/>
      <w:r w:rsidRPr="000A34CE">
        <w:rPr>
          <w:rFonts w:ascii="Times New Roman" w:hAnsi="Times New Roman"/>
          <w:sz w:val="22"/>
          <w:szCs w:val="22"/>
        </w:rPr>
        <w:t>innsynskravet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. Vi viser her til Stortingsmelding 32 (1997-98) Om offentlighetsprinsippet i forvaltningen, der det heter: 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i/>
          <w:sz w:val="22"/>
          <w:szCs w:val="22"/>
        </w:rPr>
        <w:t>”</w:t>
      </w:r>
      <w:r w:rsidRPr="000A34CE">
        <w:rPr>
          <w:rFonts w:ascii="Times New Roman" w:hAnsi="Times New Roman"/>
          <w:b/>
          <w:i/>
          <w:sz w:val="22"/>
          <w:szCs w:val="22"/>
        </w:rPr>
        <w:t xml:space="preserve">At saksbehandleren som har saken som </w:t>
      </w:r>
      <w:proofErr w:type="spellStart"/>
      <w:r w:rsidRPr="000A34CE">
        <w:rPr>
          <w:rFonts w:ascii="Times New Roman" w:hAnsi="Times New Roman"/>
          <w:b/>
          <w:i/>
          <w:sz w:val="22"/>
          <w:szCs w:val="22"/>
        </w:rPr>
        <w:t>innsynsbegjæringen</w:t>
      </w:r>
      <w:proofErr w:type="spellEnd"/>
      <w:r w:rsidRPr="000A34CE">
        <w:rPr>
          <w:rFonts w:ascii="Times New Roman" w:hAnsi="Times New Roman"/>
          <w:b/>
          <w:i/>
          <w:sz w:val="22"/>
          <w:szCs w:val="22"/>
        </w:rPr>
        <w:t xml:space="preserve"> knytter seg til er bortreist, syk eller på ferie når begjæringen kommer inn, er som hovedregel ikke tilstrekkelig til at behandlingen av </w:t>
      </w:r>
      <w:proofErr w:type="spellStart"/>
      <w:r w:rsidRPr="000A34CE">
        <w:rPr>
          <w:rFonts w:ascii="Times New Roman" w:hAnsi="Times New Roman"/>
          <w:b/>
          <w:i/>
          <w:sz w:val="22"/>
          <w:szCs w:val="22"/>
        </w:rPr>
        <w:t>innsynsbegjæringen</w:t>
      </w:r>
      <w:proofErr w:type="spellEnd"/>
      <w:r w:rsidRPr="000A34CE">
        <w:rPr>
          <w:rFonts w:ascii="Times New Roman" w:hAnsi="Times New Roman"/>
          <w:b/>
          <w:i/>
          <w:sz w:val="22"/>
          <w:szCs w:val="22"/>
        </w:rPr>
        <w:t xml:space="preserve"> kan utsettes</w:t>
      </w:r>
      <w:r w:rsidRPr="000A34CE">
        <w:rPr>
          <w:rFonts w:ascii="Times New Roman" w:hAnsi="Times New Roman"/>
          <w:i/>
          <w:sz w:val="22"/>
          <w:szCs w:val="22"/>
        </w:rPr>
        <w:t xml:space="preserve"> </w:t>
      </w:r>
      <w:r w:rsidRPr="000A34CE">
        <w:rPr>
          <w:rFonts w:ascii="Times New Roman" w:hAnsi="Times New Roman"/>
          <w:sz w:val="22"/>
          <w:szCs w:val="22"/>
        </w:rPr>
        <w:t>(min uthevelse)</w:t>
      </w:r>
      <w:r w:rsidRPr="000A34CE">
        <w:rPr>
          <w:rFonts w:ascii="Times New Roman" w:hAnsi="Times New Roman"/>
          <w:i/>
          <w:sz w:val="22"/>
          <w:szCs w:val="22"/>
        </w:rPr>
        <w:t>. Det er det enkelte organs eget ansvar å sørge for rutiner som gjør at kravet i offentlighetsloven § 9 første ledd oppfylles</w:t>
      </w:r>
      <w:r w:rsidRPr="000A34CE">
        <w:rPr>
          <w:rFonts w:ascii="Times New Roman" w:hAnsi="Times New Roman"/>
          <w:sz w:val="22"/>
          <w:szCs w:val="22"/>
        </w:rPr>
        <w:t>”</w:t>
      </w:r>
    </w:p>
    <w:p w:rsidR="00E024BF" w:rsidRPr="000A34CE" w:rsidRDefault="00E024BF" w:rsidP="00E024BF">
      <w:pPr>
        <w:pStyle w:val="Brdtekst"/>
        <w:rPr>
          <w:rFonts w:ascii="Times New Roman" w:hAnsi="Times New Roman"/>
          <w:b/>
          <w:sz w:val="22"/>
          <w:szCs w:val="22"/>
        </w:rPr>
      </w:pPr>
    </w:p>
    <w:p w:rsidR="000A34CE" w:rsidRPr="000A34CE" w:rsidRDefault="000A34CE" w:rsidP="000A34CE">
      <w:pPr>
        <w:pStyle w:val="Brdtekst"/>
        <w:spacing w:after="240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At dette også gjelder for klagebehandlingen, er sagt eksplisitt i JDs </w:t>
      </w:r>
      <w:proofErr w:type="spellStart"/>
      <w:r w:rsidRPr="000A34CE">
        <w:rPr>
          <w:rFonts w:ascii="Times New Roman" w:hAnsi="Times New Roman"/>
          <w:sz w:val="22"/>
          <w:szCs w:val="22"/>
        </w:rPr>
        <w:t>veileider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, s. 177: 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r w:rsidRPr="000A34CE">
        <w:rPr>
          <w:rFonts w:ascii="Times New Roman" w:hAnsi="Times New Roman"/>
          <w:i/>
          <w:iCs/>
          <w:sz w:val="22"/>
          <w:szCs w:val="22"/>
        </w:rPr>
        <w:t>”</w:t>
      </w:r>
      <w:proofErr w:type="gramStart"/>
      <w:r w:rsidRPr="000A34CE">
        <w:rPr>
          <w:rFonts w:ascii="Times New Roman" w:hAnsi="Times New Roman"/>
          <w:i/>
          <w:iCs/>
          <w:sz w:val="22"/>
          <w:szCs w:val="22"/>
        </w:rPr>
        <w:t>Det følgjer</w:t>
      </w:r>
      <w:proofErr w:type="gramEnd"/>
      <w:r w:rsidRPr="000A34CE">
        <w:rPr>
          <w:rFonts w:ascii="Times New Roman" w:hAnsi="Times New Roman"/>
          <w:i/>
          <w:iCs/>
          <w:sz w:val="22"/>
          <w:szCs w:val="22"/>
        </w:rPr>
        <w:t xml:space="preserve"> av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offentleglova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 xml:space="preserve"> § 32 tredje ledd fyrste punktum at ei klage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proofErr w:type="gramStart"/>
      <w:r w:rsidRPr="000A34CE">
        <w:rPr>
          <w:rFonts w:ascii="Times New Roman" w:hAnsi="Times New Roman"/>
          <w:i/>
          <w:iCs/>
          <w:sz w:val="22"/>
          <w:szCs w:val="22"/>
        </w:rPr>
        <w:t xml:space="preserve">skal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førebuast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 xml:space="preserve"> og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avgjerast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utan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 xml:space="preserve"> ugrunna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opphald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0A34CE">
        <w:rPr>
          <w:rFonts w:ascii="Times New Roman" w:hAnsi="Times New Roman"/>
          <w:i/>
          <w:iCs/>
          <w:sz w:val="22"/>
          <w:szCs w:val="22"/>
        </w:rPr>
        <w:t xml:space="preserve"> Ordlyden er tilpassa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r w:rsidRPr="000A34CE">
        <w:rPr>
          <w:rFonts w:ascii="Times New Roman" w:hAnsi="Times New Roman"/>
          <w:i/>
          <w:iCs/>
          <w:sz w:val="22"/>
          <w:szCs w:val="22"/>
        </w:rPr>
        <w:t>formuleringa i forvaltningslova § 11 a fyrste ledd for å få fram at òg saksførebuinga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r w:rsidRPr="000A34CE">
        <w:rPr>
          <w:rFonts w:ascii="Times New Roman" w:hAnsi="Times New Roman"/>
          <w:i/>
          <w:iCs/>
          <w:sz w:val="22"/>
          <w:szCs w:val="22"/>
        </w:rPr>
        <w:t xml:space="preserve">skal skje raskt, og kravet er elles </w:t>
      </w:r>
      <w:proofErr w:type="gramStart"/>
      <w:r w:rsidRPr="000A34CE">
        <w:rPr>
          <w:rFonts w:ascii="Times New Roman" w:hAnsi="Times New Roman"/>
          <w:i/>
          <w:iCs/>
          <w:sz w:val="22"/>
          <w:szCs w:val="22"/>
        </w:rPr>
        <w:t>det</w:t>
      </w:r>
      <w:proofErr w:type="gramEnd"/>
      <w:r w:rsidRPr="000A34CE">
        <w:rPr>
          <w:rFonts w:ascii="Times New Roman" w:hAnsi="Times New Roman"/>
          <w:i/>
          <w:iCs/>
          <w:sz w:val="22"/>
          <w:szCs w:val="22"/>
        </w:rPr>
        <w:t xml:space="preserve"> same som etter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r w:rsidRPr="000A34CE">
        <w:rPr>
          <w:rFonts w:ascii="Times New Roman" w:hAnsi="Times New Roman"/>
          <w:i/>
          <w:iCs/>
          <w:sz w:val="22"/>
          <w:szCs w:val="22"/>
        </w:rPr>
        <w:t xml:space="preserve">§ 29 fyrste ledd andre punktum gjeld for handsaming av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innsynskrav</w:t>
      </w:r>
      <w:proofErr w:type="spellEnd"/>
    </w:p>
    <w:p w:rsidR="000A34CE" w:rsidRPr="000A34CE" w:rsidRDefault="000A34CE" w:rsidP="000A34CE">
      <w:pPr>
        <w:pStyle w:val="Brdtekst"/>
        <w:rPr>
          <w:rFonts w:ascii="Times New Roman" w:hAnsi="Times New Roman"/>
          <w:i/>
          <w:iCs/>
          <w:sz w:val="22"/>
          <w:szCs w:val="22"/>
        </w:rPr>
      </w:pPr>
      <w:r w:rsidRPr="000A34CE">
        <w:rPr>
          <w:rFonts w:ascii="Times New Roman" w:hAnsi="Times New Roman"/>
          <w:i/>
          <w:iCs/>
          <w:sz w:val="22"/>
          <w:szCs w:val="22"/>
        </w:rPr>
        <w:t xml:space="preserve">i fyrsteinstansen, jf. punkt 9.3 </w:t>
      </w:r>
      <w:proofErr w:type="spellStart"/>
      <w:r w:rsidRPr="000A34CE">
        <w:rPr>
          <w:rFonts w:ascii="Times New Roman" w:hAnsi="Times New Roman"/>
          <w:i/>
          <w:iCs/>
          <w:sz w:val="22"/>
          <w:szCs w:val="22"/>
        </w:rPr>
        <w:t>ovanfor</w:t>
      </w:r>
      <w:proofErr w:type="spellEnd"/>
      <w:r w:rsidRPr="000A34CE">
        <w:rPr>
          <w:rFonts w:ascii="Times New Roman" w:hAnsi="Times New Roman"/>
          <w:i/>
          <w:iCs/>
          <w:sz w:val="22"/>
          <w:szCs w:val="22"/>
        </w:rPr>
        <w:t>.”</w:t>
      </w:r>
    </w:p>
    <w:p w:rsidR="000A34CE" w:rsidRPr="000A34CE" w:rsidRDefault="000A34CE" w:rsidP="000A34CE">
      <w:pPr>
        <w:pStyle w:val="Brdtekst"/>
        <w:rPr>
          <w:rFonts w:ascii="Times New Roman" w:hAnsi="Times New Roman"/>
          <w:sz w:val="22"/>
          <w:szCs w:val="22"/>
        </w:rPr>
      </w:pPr>
    </w:p>
    <w:p w:rsidR="000A34CE" w:rsidRPr="000A34CE" w:rsidRDefault="000A34CE" w:rsidP="000A34CE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 xml:space="preserve">Vi ber derfor om at </w:t>
      </w:r>
      <w:proofErr w:type="spellStart"/>
      <w:r w:rsidRPr="000A34CE">
        <w:rPr>
          <w:rFonts w:ascii="Times New Roman" w:hAnsi="Times New Roman"/>
          <w:sz w:val="22"/>
          <w:szCs w:val="22"/>
        </w:rPr>
        <w:t>innsynskravet</w:t>
      </w:r>
      <w:proofErr w:type="spellEnd"/>
      <w:r w:rsidRPr="000A34CE">
        <w:rPr>
          <w:rFonts w:ascii="Times New Roman" w:hAnsi="Times New Roman"/>
          <w:sz w:val="22"/>
          <w:szCs w:val="22"/>
        </w:rPr>
        <w:t xml:space="preserve"> behandles i tråd med kravet om behandling ”uten ugrunnet opphold”. </w:t>
      </w:r>
    </w:p>
    <w:p w:rsidR="000A34CE" w:rsidRPr="000A34CE" w:rsidRDefault="000A34CE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0A34CE" w:rsidRPr="000A34CE" w:rsidRDefault="000A34CE" w:rsidP="00E024BF">
      <w:pPr>
        <w:pStyle w:val="Brdtekst"/>
        <w:rPr>
          <w:rFonts w:ascii="Times New Roman" w:hAnsi="Times New Roman"/>
          <w:sz w:val="22"/>
          <w:szCs w:val="22"/>
        </w:rPr>
      </w:pPr>
    </w:p>
    <w:p w:rsidR="00E024BF" w:rsidRPr="000A34CE" w:rsidRDefault="00E024BF" w:rsidP="00E024BF">
      <w:pPr>
        <w:pStyle w:val="Brdtekst"/>
        <w:rPr>
          <w:rFonts w:ascii="Times New Roman" w:hAnsi="Times New Roman"/>
          <w:sz w:val="22"/>
          <w:szCs w:val="22"/>
        </w:rPr>
      </w:pPr>
      <w:r w:rsidRPr="000A34CE">
        <w:rPr>
          <w:rFonts w:ascii="Times New Roman" w:hAnsi="Times New Roman"/>
          <w:sz w:val="22"/>
          <w:szCs w:val="22"/>
        </w:rPr>
        <w:t>Med vennlig hilsen</w:t>
      </w:r>
    </w:p>
    <w:p w:rsidR="00E024BF" w:rsidRPr="000A34CE" w:rsidRDefault="00E024BF" w:rsidP="00E024BF">
      <w:pPr>
        <w:rPr>
          <w:sz w:val="22"/>
          <w:szCs w:val="22"/>
        </w:rPr>
      </w:pPr>
    </w:p>
    <w:p w:rsidR="00E024BF" w:rsidRPr="000A34CE" w:rsidRDefault="00E024BF" w:rsidP="00E024BF">
      <w:pPr>
        <w:rPr>
          <w:sz w:val="22"/>
          <w:szCs w:val="22"/>
        </w:rPr>
      </w:pPr>
    </w:p>
    <w:p w:rsidR="00E024BF" w:rsidRPr="000A34CE" w:rsidRDefault="00E024BF" w:rsidP="00E024BF">
      <w:pPr>
        <w:rPr>
          <w:sz w:val="22"/>
          <w:szCs w:val="22"/>
        </w:rPr>
      </w:pPr>
    </w:p>
    <w:p w:rsidR="00EF5C46" w:rsidRPr="000A34CE" w:rsidRDefault="00EF5C46">
      <w:pPr>
        <w:rPr>
          <w:sz w:val="22"/>
          <w:szCs w:val="22"/>
        </w:rPr>
      </w:pPr>
    </w:p>
    <w:sectPr w:rsidR="00EF5C46" w:rsidRPr="000A34CE">
      <w:pgSz w:w="11907" w:h="16840" w:code="9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24BF"/>
    <w:rsid w:val="000A34CE"/>
    <w:rsid w:val="00E024BF"/>
    <w:rsid w:val="00E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BF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E024BF"/>
    <w:pPr>
      <w:spacing w:line="240" w:lineRule="atLeast"/>
    </w:pPr>
    <w:rPr>
      <w:rFonts w:ascii="Times" w:hAnsi="Times"/>
      <w:szCs w:val="20"/>
    </w:rPr>
  </w:style>
  <w:style w:type="character" w:customStyle="1" w:styleId="BrdtekstTegn">
    <w:name w:val="Brødtekst Tegn"/>
    <w:basedOn w:val="Standardskriftforavsnitt"/>
    <w:link w:val="Brdtekst"/>
    <w:rsid w:val="00E024BF"/>
    <w:rPr>
      <w:rFonts w:ascii="Times" w:eastAsia="Times New Roman" w:hAnsi="Times" w:cs="Times New Roman"/>
      <w:sz w:val="24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Kristine</cp:lastModifiedBy>
  <cp:revision>2</cp:revision>
  <dcterms:created xsi:type="dcterms:W3CDTF">2011-07-08T08:14:00Z</dcterms:created>
  <dcterms:modified xsi:type="dcterms:W3CDTF">2011-07-08T08:14:00Z</dcterms:modified>
</cp:coreProperties>
</file>